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黑体" w:hAnsi="黑体" w:eastAsia="黑体" w:cs="黑体"/>
          <w:b/>
          <w:spacing w:val="-17"/>
          <w:kern w:val="0"/>
          <w:sz w:val="28"/>
          <w:szCs w:val="28"/>
          <w:lang w:val="en-US" w:eastAsia="zh-CN"/>
        </w:rPr>
      </w:pPr>
      <w:bookmarkStart w:id="0" w:name="_GoBack"/>
      <w:r>
        <w:rPr>
          <w:rFonts w:hint="eastAsia" w:ascii="黑体" w:hAnsi="黑体" w:eastAsia="黑体" w:cs="黑体"/>
          <w:b/>
          <w:spacing w:val="-17"/>
          <w:kern w:val="0"/>
          <w:sz w:val="28"/>
          <w:szCs w:val="28"/>
          <w:lang w:val="en-US" w:eastAsia="zh-CN"/>
        </w:rPr>
        <w:t>公告1</w:t>
      </w:r>
      <w:bookmarkEnd w:id="0"/>
      <w:r>
        <w:rPr>
          <w:rFonts w:hint="eastAsia" w:ascii="黑体" w:hAnsi="黑体" w:eastAsia="黑体" w:cs="黑体"/>
          <w:b/>
          <w:spacing w:val="-17"/>
          <w:kern w:val="0"/>
          <w:sz w:val="28"/>
          <w:szCs w:val="28"/>
          <w:lang w:val="en-US" w:eastAsia="zh-CN"/>
        </w:rPr>
        <w:t>：</w:t>
      </w:r>
    </w:p>
    <w:p>
      <w:pPr>
        <w:widowControl/>
        <w:jc w:val="center"/>
        <w:rPr>
          <w:rFonts w:ascii="黑体" w:hAnsi="黑体" w:eastAsia="黑体" w:cs="黑体"/>
          <w:b/>
          <w:spacing w:val="-17"/>
          <w:kern w:val="0"/>
          <w:sz w:val="44"/>
          <w:szCs w:val="44"/>
        </w:rPr>
      </w:pPr>
      <w:r>
        <w:rPr>
          <w:rFonts w:hint="eastAsia" w:ascii="黑体" w:hAnsi="黑体" w:eastAsia="黑体" w:cs="黑体"/>
          <w:b/>
          <w:spacing w:val="-17"/>
          <w:kern w:val="0"/>
          <w:sz w:val="44"/>
          <w:szCs w:val="44"/>
        </w:rPr>
        <w:t>河南能源“揭榜挂帅”科技项目榜单公告</w:t>
      </w:r>
    </w:p>
    <w:p>
      <w:pPr>
        <w:widowControl/>
        <w:jc w:val="center"/>
        <w:rPr>
          <w:rFonts w:ascii="黑体" w:hAnsi="黑体" w:eastAsia="黑体" w:cs="黑体"/>
          <w:kern w:val="0"/>
          <w:sz w:val="28"/>
          <w:szCs w:val="28"/>
        </w:rPr>
      </w:pPr>
    </w:p>
    <w:p>
      <w:pPr>
        <w:widowControl/>
        <w:ind w:firstLine="640" w:firstLineChars="200"/>
        <w:jc w:val="left"/>
        <w:rPr>
          <w:rFonts w:ascii="黑体" w:hAnsi="黑体" w:eastAsia="黑体" w:cs="黑体"/>
          <w:kern w:val="0"/>
          <w:sz w:val="32"/>
          <w:szCs w:val="32"/>
          <w:highlight w:val="none"/>
        </w:rPr>
      </w:pPr>
      <w:r>
        <w:rPr>
          <w:rFonts w:hint="eastAsia" w:ascii="黑体" w:hAnsi="黑体" w:eastAsia="黑体" w:cs="黑体"/>
          <w:kern w:val="0"/>
          <w:sz w:val="32"/>
          <w:szCs w:val="32"/>
          <w:highlight w:val="none"/>
        </w:rPr>
        <w:t>一、榜单名称</w:t>
      </w:r>
    </w:p>
    <w:p>
      <w:pPr>
        <w:widowControl/>
        <w:ind w:left="8" w:firstLine="630" w:firstLineChars="196"/>
        <w:jc w:val="left"/>
        <w:rPr>
          <w:rFonts w:ascii="仿宋" w:hAnsi="仿宋" w:eastAsia="仿宋" w:cs="仿宋"/>
          <w:kern w:val="0"/>
          <w:sz w:val="32"/>
          <w:szCs w:val="32"/>
          <w:highlight w:val="none"/>
        </w:rPr>
      </w:pPr>
      <w:r>
        <w:rPr>
          <w:rFonts w:hint="eastAsia" w:ascii="仿宋" w:hAnsi="仿宋" w:eastAsia="仿宋" w:cs="仿宋"/>
          <w:b/>
          <w:bCs/>
          <w:kern w:val="0"/>
          <w:sz w:val="32"/>
          <w:szCs w:val="32"/>
          <w:highlight w:val="none"/>
        </w:rPr>
        <w:t>项目名称：</w:t>
      </w:r>
      <w:r>
        <w:rPr>
          <w:rFonts w:hint="eastAsia" w:ascii="仿宋" w:hAnsi="仿宋" w:eastAsia="仿宋" w:cs="仿宋"/>
          <w:kern w:val="0"/>
          <w:sz w:val="32"/>
          <w:szCs w:val="32"/>
          <w:highlight w:val="none"/>
        </w:rPr>
        <w:t>城郊煤矿建筑物下充填开采技术研究及工程实践</w:t>
      </w:r>
    </w:p>
    <w:p>
      <w:pPr>
        <w:widowControl/>
        <w:ind w:firstLine="643" w:firstLineChars="200"/>
        <w:jc w:val="left"/>
        <w:rPr>
          <w:rFonts w:ascii="仿宋" w:hAnsi="仿宋" w:eastAsia="仿宋" w:cs="仿宋"/>
          <w:kern w:val="0"/>
          <w:sz w:val="32"/>
          <w:szCs w:val="32"/>
          <w:highlight w:val="none"/>
        </w:rPr>
      </w:pPr>
      <w:r>
        <w:rPr>
          <w:rFonts w:hint="eastAsia" w:ascii="仿宋" w:hAnsi="仿宋" w:eastAsia="仿宋" w:cs="仿宋"/>
          <w:b/>
          <w:bCs/>
          <w:kern w:val="0"/>
          <w:sz w:val="32"/>
          <w:szCs w:val="32"/>
          <w:highlight w:val="none"/>
        </w:rPr>
        <w:t>注：</w:t>
      </w:r>
      <w:r>
        <w:rPr>
          <w:rFonts w:hint="eastAsia" w:ascii="仿宋" w:hAnsi="仿宋" w:eastAsia="仿宋" w:cs="仿宋"/>
          <w:kern w:val="0"/>
          <w:sz w:val="32"/>
          <w:szCs w:val="32"/>
          <w:highlight w:val="none"/>
        </w:rPr>
        <w:t>《关于下达河南能源集团2024年科技研发项目计划的通知》（豫能办〔2024〕95号），项目编号</w:t>
      </w:r>
      <w:r>
        <w:rPr>
          <w:rFonts w:hint="eastAsia" w:ascii="仿宋" w:hAnsi="仿宋" w:eastAsia="仿宋" w:cs="仿宋"/>
          <w:kern w:val="0"/>
          <w:sz w:val="32"/>
          <w:szCs w:val="32"/>
          <w:highlight w:val="none"/>
          <w:lang w:eastAsia="zh-CN"/>
        </w:rPr>
        <w:t>：</w:t>
      </w:r>
      <w:r>
        <w:rPr>
          <w:rFonts w:hint="eastAsia" w:ascii="仿宋" w:hAnsi="仿宋" w:eastAsia="仿宋" w:cs="仿宋"/>
          <w:kern w:val="0"/>
          <w:sz w:val="32"/>
          <w:szCs w:val="32"/>
          <w:highlight w:val="none"/>
        </w:rPr>
        <w:t>子课题（2024-01-1）。</w:t>
      </w:r>
    </w:p>
    <w:p>
      <w:pPr>
        <w:widowControl/>
        <w:ind w:firstLine="640" w:firstLineChars="200"/>
        <w:jc w:val="left"/>
        <w:rPr>
          <w:rFonts w:ascii="黑体" w:hAnsi="黑体" w:eastAsia="黑体" w:cs="黑体"/>
          <w:kern w:val="0"/>
          <w:sz w:val="32"/>
          <w:szCs w:val="32"/>
        </w:rPr>
      </w:pPr>
      <w:r>
        <w:rPr>
          <w:rFonts w:hint="eastAsia" w:ascii="黑体" w:hAnsi="黑体" w:eastAsia="黑体" w:cs="黑体"/>
          <w:kern w:val="0"/>
          <w:sz w:val="32"/>
          <w:szCs w:val="32"/>
        </w:rPr>
        <w:t>二、需求目标</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结合城郊煤矿煤层赋存及地表建筑物情况，开展城郊煤矿</w:t>
      </w:r>
      <w:r>
        <w:rPr>
          <w:rFonts w:hint="eastAsia" w:ascii="仿宋" w:hAnsi="仿宋" w:eastAsia="仿宋" w:cs="仿宋"/>
          <w:bCs/>
          <w:sz w:val="32"/>
          <w:szCs w:val="32"/>
        </w:rPr>
        <w:t>充填开采技术的研究、论证，</w:t>
      </w:r>
      <w:r>
        <w:rPr>
          <w:rFonts w:hint="eastAsia" w:ascii="仿宋" w:hAnsi="仿宋" w:eastAsia="仿宋" w:cs="仿宋"/>
          <w:bCs/>
          <w:sz w:val="32"/>
          <w:szCs w:val="32"/>
          <w:lang w:val="en-US" w:eastAsia="zh-CN"/>
        </w:rPr>
        <w:t>确定适宜</w:t>
      </w:r>
      <w:r>
        <w:rPr>
          <w:rFonts w:hint="eastAsia" w:ascii="仿宋" w:hAnsi="仿宋" w:eastAsia="仿宋" w:cs="仿宋"/>
          <w:bCs/>
          <w:sz w:val="32"/>
          <w:szCs w:val="32"/>
        </w:rPr>
        <w:t>城郊煤矿</w:t>
      </w:r>
      <w:r>
        <w:rPr>
          <w:rFonts w:hint="eastAsia" w:ascii="仿宋" w:hAnsi="仿宋" w:eastAsia="仿宋" w:cs="仿宋"/>
          <w:bCs/>
          <w:sz w:val="32"/>
          <w:szCs w:val="32"/>
          <w:lang w:val="en-US" w:eastAsia="zh-CN"/>
        </w:rPr>
        <w:t>的</w:t>
      </w:r>
      <w:r>
        <w:rPr>
          <w:rFonts w:hint="eastAsia" w:ascii="仿宋" w:hAnsi="仿宋" w:eastAsia="仿宋" w:cs="仿宋"/>
          <w:bCs/>
          <w:sz w:val="32"/>
          <w:szCs w:val="32"/>
        </w:rPr>
        <w:t>充填开采</w:t>
      </w:r>
      <w:r>
        <w:rPr>
          <w:rFonts w:hint="eastAsia" w:ascii="仿宋" w:hAnsi="仿宋" w:eastAsia="仿宋" w:cs="仿宋"/>
          <w:bCs/>
          <w:sz w:val="32"/>
          <w:szCs w:val="32"/>
          <w:lang w:val="en-US" w:eastAsia="zh-CN"/>
        </w:rPr>
        <w:t>方法和开采方案</w:t>
      </w:r>
      <w:r>
        <w:rPr>
          <w:rFonts w:hint="eastAsia" w:ascii="仿宋" w:hAnsi="仿宋" w:eastAsia="仿宋" w:cs="仿宋"/>
          <w:bCs/>
          <w:sz w:val="32"/>
          <w:szCs w:val="32"/>
        </w:rPr>
        <w:t>，</w:t>
      </w:r>
      <w:r>
        <w:rPr>
          <w:rFonts w:hint="eastAsia" w:ascii="仿宋" w:hAnsi="仿宋" w:eastAsia="仿宋" w:cs="仿宋"/>
          <w:bCs/>
          <w:sz w:val="32"/>
          <w:szCs w:val="32"/>
          <w:lang w:val="en-US" w:eastAsia="zh-CN"/>
        </w:rPr>
        <w:t>解放建筑物下压覆煤炭资源</w:t>
      </w:r>
      <w:r>
        <w:rPr>
          <w:rFonts w:hint="eastAsia" w:ascii="仿宋" w:hAnsi="仿宋" w:eastAsia="仿宋" w:cs="仿宋"/>
          <w:bCs/>
          <w:sz w:val="32"/>
          <w:szCs w:val="32"/>
        </w:rPr>
        <w:t>，实现建筑物下煤炭资源</w:t>
      </w:r>
      <w:r>
        <w:rPr>
          <w:rFonts w:hint="eastAsia" w:ascii="仿宋" w:hAnsi="仿宋" w:eastAsia="仿宋" w:cs="仿宋"/>
          <w:bCs/>
          <w:sz w:val="32"/>
          <w:szCs w:val="32"/>
          <w:lang w:val="en-US" w:eastAsia="zh-CN"/>
        </w:rPr>
        <w:t>不搬迁</w:t>
      </w:r>
      <w:r>
        <w:rPr>
          <w:rFonts w:hint="eastAsia" w:ascii="仿宋" w:hAnsi="仿宋" w:eastAsia="仿宋" w:cs="仿宋"/>
          <w:bCs/>
          <w:sz w:val="32"/>
          <w:szCs w:val="32"/>
        </w:rPr>
        <w:t>安全回采，延长矿井的服务年限。</w:t>
      </w:r>
    </w:p>
    <w:p>
      <w:pPr>
        <w:widowControl/>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2</w:t>
      </w:r>
      <w:r>
        <w:rPr>
          <w:rFonts w:hint="eastAsia" w:ascii="仿宋" w:hAnsi="仿宋" w:eastAsia="仿宋" w:cs="仿宋"/>
          <w:bCs/>
          <w:sz w:val="32"/>
          <w:szCs w:val="32"/>
        </w:rPr>
        <w:t>.</w:t>
      </w:r>
      <w:r>
        <w:rPr>
          <w:rFonts w:hint="eastAsia" w:ascii="仿宋" w:hAnsi="仿宋" w:eastAsia="仿宋" w:cs="仿宋"/>
          <w:bCs/>
          <w:sz w:val="32"/>
          <w:szCs w:val="32"/>
          <w:lang w:val="en-US" w:eastAsia="zh-CN"/>
        </w:rPr>
        <w:t>开展充填系统、充填支架、充填材料、充填装备等研究，优化充填开采工艺，提高充填开采效率。</w:t>
      </w:r>
    </w:p>
    <w:p>
      <w:pPr>
        <w:widowControl/>
        <w:ind w:firstLine="640" w:firstLineChars="200"/>
        <w:jc w:val="left"/>
        <w:rPr>
          <w:rFonts w:ascii="黑体" w:hAnsi="黑体" w:eastAsia="黑体" w:cs="黑体"/>
          <w:kern w:val="0"/>
          <w:sz w:val="32"/>
          <w:szCs w:val="32"/>
        </w:rPr>
      </w:pPr>
      <w:r>
        <w:rPr>
          <w:rFonts w:hint="eastAsia" w:ascii="黑体" w:hAnsi="黑体" w:eastAsia="黑体" w:cs="黑体"/>
          <w:kern w:val="0"/>
          <w:sz w:val="32"/>
          <w:szCs w:val="32"/>
        </w:rPr>
        <w:t>三、考核指标</w:t>
      </w:r>
    </w:p>
    <w:p>
      <w:pPr>
        <w:widowControl/>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确定适宜城郊煤矿建筑物下的充填开采方法，完成城郊煤矿建筑物下充填开采方案设计。</w:t>
      </w:r>
    </w:p>
    <w:p>
      <w:pPr>
        <w:widowControl/>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2</w:t>
      </w:r>
      <w:r>
        <w:rPr>
          <w:rFonts w:hint="eastAsia" w:ascii="仿宋" w:hAnsi="仿宋" w:eastAsia="仿宋" w:cs="仿宋"/>
          <w:bCs/>
          <w:sz w:val="32"/>
          <w:szCs w:val="32"/>
        </w:rPr>
        <w:t>.</w:t>
      </w:r>
      <w:r>
        <w:rPr>
          <w:rFonts w:hint="eastAsia" w:ascii="仿宋" w:hAnsi="仿宋" w:eastAsia="仿宋" w:cs="仿宋"/>
          <w:bCs/>
          <w:sz w:val="32"/>
          <w:szCs w:val="32"/>
          <w:lang w:val="en-US" w:eastAsia="zh-CN"/>
        </w:rPr>
        <w:t>完成城郊煤矿充填系统、充填液压支架设计及选型。</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3</w:t>
      </w:r>
      <w:r>
        <w:rPr>
          <w:rFonts w:hint="eastAsia" w:ascii="仿宋" w:hAnsi="仿宋" w:eastAsia="仿宋" w:cs="仿宋"/>
          <w:bCs/>
          <w:sz w:val="32"/>
          <w:szCs w:val="32"/>
        </w:rPr>
        <w:t>.完成</w:t>
      </w:r>
      <w:r>
        <w:rPr>
          <w:rFonts w:hint="eastAsia" w:ascii="仿宋" w:hAnsi="仿宋" w:eastAsia="仿宋" w:cs="仿宋"/>
          <w:bCs/>
          <w:sz w:val="32"/>
          <w:szCs w:val="32"/>
          <w:lang w:val="en-US" w:eastAsia="zh-CN"/>
        </w:rPr>
        <w:t>城郊煤矿</w:t>
      </w:r>
      <w:r>
        <w:rPr>
          <w:rFonts w:hint="eastAsia" w:ascii="仿宋" w:hAnsi="仿宋" w:eastAsia="仿宋" w:cs="仿宋"/>
          <w:bCs/>
          <w:sz w:val="32"/>
          <w:szCs w:val="32"/>
        </w:rPr>
        <w:t>充填开采系统土建工程及施工图设计</w:t>
      </w:r>
      <w:r>
        <w:rPr>
          <w:rFonts w:hint="eastAsia" w:ascii="仿宋" w:hAnsi="仿宋" w:eastAsia="仿宋" w:cs="仿宋"/>
          <w:bCs/>
          <w:sz w:val="32"/>
          <w:szCs w:val="32"/>
          <w:lang w:val="en-US" w:eastAsia="zh-CN"/>
        </w:rPr>
        <w:t>。</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4.完成充填材料选择及配比研究。</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5.城郊煤矿单个充填工作面产量不低于30万t/年，充填系统充填能力不低于60万t/年。</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6.完成城郊煤矿Z207试采</w:t>
      </w:r>
      <w:r>
        <w:rPr>
          <w:rFonts w:hint="eastAsia" w:ascii="仿宋" w:hAnsi="仿宋" w:eastAsia="仿宋" w:cs="仿宋"/>
          <w:bCs/>
          <w:sz w:val="32"/>
          <w:szCs w:val="32"/>
        </w:rPr>
        <w:t>工作面</w:t>
      </w:r>
      <w:r>
        <w:rPr>
          <w:rFonts w:hint="eastAsia" w:ascii="仿宋" w:hAnsi="仿宋" w:eastAsia="仿宋" w:cs="仿宋"/>
          <w:bCs/>
          <w:sz w:val="32"/>
          <w:szCs w:val="32"/>
          <w:lang w:val="en-US" w:eastAsia="zh-CN"/>
        </w:rPr>
        <w:t>充填前后地表沉降观测，验证工作面充填效果，地表变形及建筑物损坏等级均控制在Ⅰ级范围，必须实现不搬迁回采。</w:t>
      </w:r>
    </w:p>
    <w:p>
      <w:pPr>
        <w:widowControl/>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lang w:val="en-US" w:eastAsia="zh-CN"/>
        </w:rPr>
        <w:t>7.试采工作面回采结束后，完成建筑物下压煤充填开采技术经济分析总结。</w:t>
      </w:r>
    </w:p>
    <w:p>
      <w:pPr>
        <w:widowControl/>
        <w:ind w:firstLine="640" w:firstLineChars="200"/>
        <w:rPr>
          <w:rFonts w:hint="default" w:ascii="仿宋" w:hAnsi="仿宋" w:eastAsia="仿宋" w:cs="仿宋"/>
          <w:bCs/>
          <w:sz w:val="32"/>
          <w:szCs w:val="32"/>
          <w:lang w:val="en-US" w:eastAsia="zh-CN"/>
        </w:rPr>
      </w:pPr>
      <w:r>
        <w:rPr>
          <w:rFonts w:hint="eastAsia" w:ascii="仿宋" w:hAnsi="仿宋" w:eastAsia="仿宋" w:cs="仿宋"/>
          <w:bCs/>
          <w:sz w:val="32"/>
          <w:szCs w:val="32"/>
          <w:lang w:val="en-US" w:eastAsia="zh-CN"/>
        </w:rPr>
        <w:t>8.</w:t>
      </w:r>
      <w:r>
        <w:rPr>
          <w:rFonts w:hint="eastAsia" w:ascii="仿宋" w:hAnsi="仿宋" w:eastAsia="仿宋" w:cs="仿宋"/>
          <w:kern w:val="0"/>
          <w:sz w:val="32"/>
          <w:szCs w:val="32"/>
          <w:lang w:val="en-US" w:eastAsia="zh-CN"/>
        </w:rPr>
        <w:t>建筑物下充填开采技术</w:t>
      </w:r>
      <w:r>
        <w:rPr>
          <w:rFonts w:hint="eastAsia" w:ascii="仿宋" w:hAnsi="仿宋" w:eastAsia="仿宋" w:cs="仿宋"/>
          <w:kern w:val="0"/>
          <w:sz w:val="32"/>
          <w:szCs w:val="32"/>
        </w:rPr>
        <w:t>方面的</w:t>
      </w:r>
      <w:r>
        <w:rPr>
          <w:rFonts w:hint="eastAsia" w:ascii="仿宋" w:hAnsi="仿宋" w:eastAsia="仿宋" w:cs="仿宋"/>
          <w:bCs/>
          <w:sz w:val="32"/>
          <w:szCs w:val="32"/>
        </w:rPr>
        <w:t>发明专利申请不少于2项</w:t>
      </w:r>
      <w:r>
        <w:rPr>
          <w:rFonts w:hint="eastAsia" w:ascii="仿宋" w:hAnsi="仿宋" w:eastAsia="仿宋" w:cs="仿宋"/>
          <w:bCs/>
          <w:sz w:val="32"/>
          <w:szCs w:val="32"/>
          <w:lang w:eastAsia="zh-CN"/>
        </w:rPr>
        <w:t>，实用新型专利</w:t>
      </w:r>
      <w:r>
        <w:rPr>
          <w:rFonts w:hint="eastAsia" w:ascii="仿宋" w:hAnsi="仿宋" w:eastAsia="仿宋" w:cs="仿宋"/>
          <w:bCs/>
          <w:sz w:val="32"/>
          <w:szCs w:val="32"/>
          <w:lang w:val="en-US" w:eastAsia="zh-CN"/>
        </w:rPr>
        <w:t>不少于</w:t>
      </w:r>
      <w:r>
        <w:rPr>
          <w:rFonts w:hint="eastAsia" w:ascii="仿宋" w:hAnsi="仿宋" w:eastAsia="仿宋" w:cs="仿宋"/>
          <w:bCs/>
          <w:sz w:val="32"/>
          <w:szCs w:val="32"/>
          <w:lang w:eastAsia="zh-CN"/>
        </w:rPr>
        <w:t>3项，</w:t>
      </w:r>
      <w:r>
        <w:rPr>
          <w:rFonts w:hint="eastAsia" w:ascii="仿宋" w:hAnsi="仿宋" w:eastAsia="仿宋" w:cs="仿宋"/>
          <w:bCs/>
          <w:sz w:val="32"/>
          <w:szCs w:val="32"/>
        </w:rPr>
        <w:t>核心期刊论文不少于</w:t>
      </w:r>
      <w:r>
        <w:rPr>
          <w:rFonts w:hint="eastAsia" w:ascii="仿宋" w:hAnsi="仿宋" w:eastAsia="仿宋" w:cs="仿宋"/>
          <w:bCs/>
          <w:sz w:val="32"/>
          <w:szCs w:val="32"/>
          <w:lang w:val="en-US" w:eastAsia="zh-CN"/>
        </w:rPr>
        <w:t>4</w:t>
      </w:r>
      <w:r>
        <w:rPr>
          <w:rFonts w:hint="eastAsia" w:ascii="仿宋" w:hAnsi="仿宋" w:eastAsia="仿宋" w:cs="仿宋"/>
          <w:bCs/>
          <w:sz w:val="32"/>
          <w:szCs w:val="32"/>
        </w:rPr>
        <w:t>篇。</w:t>
      </w:r>
    </w:p>
    <w:p>
      <w:pPr>
        <w:ind w:firstLine="640" w:firstLineChars="200"/>
        <w:rPr>
          <w:rFonts w:ascii="仿宋" w:hAnsi="仿宋" w:eastAsia="仿宋" w:cs="仿宋"/>
          <w:bCs/>
          <w:sz w:val="32"/>
          <w:szCs w:val="32"/>
        </w:rPr>
      </w:pPr>
      <w:r>
        <w:rPr>
          <w:rFonts w:hint="eastAsia" w:ascii="仿宋" w:hAnsi="仿宋" w:eastAsia="仿宋" w:cs="仿宋"/>
          <w:bCs/>
          <w:sz w:val="32"/>
          <w:szCs w:val="32"/>
          <w:lang w:val="en-US" w:eastAsia="zh-CN"/>
        </w:rPr>
        <w:t>9</w:t>
      </w:r>
      <w:r>
        <w:rPr>
          <w:rFonts w:hint="eastAsia" w:ascii="仿宋" w:hAnsi="仿宋" w:eastAsia="仿宋" w:cs="仿宋"/>
          <w:bCs/>
          <w:sz w:val="32"/>
          <w:szCs w:val="32"/>
        </w:rPr>
        <w:t>.研究成果经第三方鉴定，达到</w:t>
      </w:r>
      <w:r>
        <w:rPr>
          <w:rFonts w:hint="eastAsia" w:ascii="仿宋" w:hAnsi="仿宋" w:eastAsia="仿宋" w:cs="仿宋"/>
          <w:bCs/>
          <w:sz w:val="32"/>
          <w:szCs w:val="32"/>
          <w:lang w:val="en-US" w:eastAsia="zh-CN"/>
        </w:rPr>
        <w:t>国际</w:t>
      </w:r>
      <w:r>
        <w:rPr>
          <w:rFonts w:hint="eastAsia" w:ascii="仿宋" w:hAnsi="仿宋" w:eastAsia="仿宋" w:cs="仿宋"/>
          <w:bCs/>
          <w:sz w:val="32"/>
          <w:szCs w:val="32"/>
        </w:rPr>
        <w:t>领先及以上水平</w:t>
      </w:r>
      <w:r>
        <w:rPr>
          <w:rFonts w:hint="eastAsia" w:ascii="仿宋" w:hAnsi="仿宋" w:eastAsia="仿宋" w:cs="仿宋"/>
          <w:bCs/>
          <w:sz w:val="32"/>
          <w:szCs w:val="32"/>
          <w:lang w:eastAsia="zh-CN"/>
        </w:rPr>
        <w:t>，</w:t>
      </w:r>
      <w:r>
        <w:rPr>
          <w:rFonts w:hint="eastAsia" w:ascii="仿宋" w:hAnsi="仿宋" w:eastAsia="仿宋" w:cs="仿宋"/>
          <w:bCs/>
          <w:sz w:val="32"/>
          <w:szCs w:val="32"/>
          <w:lang w:val="en-US" w:eastAsia="zh-CN"/>
        </w:rPr>
        <w:t>科研成果不低于省级科技进步二等奖。</w:t>
      </w:r>
    </w:p>
    <w:p>
      <w:pPr>
        <w:ind w:firstLine="640" w:firstLineChars="200"/>
        <w:rPr>
          <w:rFonts w:ascii="黑体" w:hAnsi="黑体" w:eastAsia="黑体" w:cs="黑体"/>
          <w:kern w:val="0"/>
          <w:sz w:val="32"/>
          <w:szCs w:val="32"/>
          <w:highlight w:val="none"/>
        </w:rPr>
      </w:pPr>
      <w:r>
        <w:rPr>
          <w:rFonts w:hint="eastAsia" w:ascii="黑体" w:hAnsi="黑体" w:eastAsia="黑体" w:cs="黑体"/>
          <w:kern w:val="0"/>
          <w:sz w:val="32"/>
          <w:szCs w:val="32"/>
          <w:highlight w:val="none"/>
        </w:rPr>
        <w:t>四、实施期限</w:t>
      </w:r>
    </w:p>
    <w:p>
      <w:pPr>
        <w:ind w:firstLine="640" w:firstLineChars="200"/>
        <w:rPr>
          <w:rFonts w:ascii="仿宋" w:hAnsi="仿宋" w:eastAsia="仿宋" w:cs="仿宋"/>
          <w:kern w:val="0"/>
          <w:sz w:val="32"/>
          <w:szCs w:val="32"/>
          <w:highlight w:val="none"/>
        </w:rPr>
      </w:pPr>
      <w:r>
        <w:rPr>
          <w:rFonts w:hint="eastAsia" w:ascii="仿宋" w:hAnsi="仿宋" w:eastAsia="仿宋" w:cs="仿宋"/>
          <w:kern w:val="0"/>
          <w:sz w:val="32"/>
          <w:szCs w:val="32"/>
          <w:highlight w:val="none"/>
        </w:rPr>
        <w:t>202</w:t>
      </w:r>
      <w:r>
        <w:rPr>
          <w:rFonts w:hint="eastAsia" w:ascii="仿宋" w:hAnsi="仿宋" w:eastAsia="仿宋" w:cs="仿宋"/>
          <w:kern w:val="0"/>
          <w:sz w:val="32"/>
          <w:szCs w:val="32"/>
          <w:highlight w:val="none"/>
          <w:lang w:val="en-US" w:eastAsia="zh-CN"/>
        </w:rPr>
        <w:t>6</w:t>
      </w:r>
      <w:r>
        <w:rPr>
          <w:rFonts w:hint="eastAsia" w:ascii="仿宋" w:hAnsi="仿宋" w:eastAsia="仿宋" w:cs="仿宋"/>
          <w:kern w:val="0"/>
          <w:sz w:val="32"/>
          <w:szCs w:val="32"/>
          <w:highlight w:val="none"/>
        </w:rPr>
        <w:t>年12月底之前。</w:t>
      </w:r>
    </w:p>
    <w:p>
      <w:pPr>
        <w:ind w:firstLine="640" w:firstLineChars="200"/>
        <w:jc w:val="left"/>
        <w:rPr>
          <w:rFonts w:ascii="黑体" w:hAnsi="黑体" w:eastAsia="黑体" w:cs="黑体"/>
          <w:kern w:val="0"/>
          <w:sz w:val="32"/>
          <w:szCs w:val="32"/>
          <w:highlight w:val="none"/>
        </w:rPr>
      </w:pPr>
      <w:r>
        <w:rPr>
          <w:rFonts w:hint="eastAsia" w:ascii="黑体" w:hAnsi="黑体" w:eastAsia="黑体" w:cs="黑体"/>
          <w:kern w:val="0"/>
          <w:sz w:val="32"/>
          <w:szCs w:val="32"/>
          <w:highlight w:val="none"/>
        </w:rPr>
        <w:t>五、榜单限额</w:t>
      </w:r>
    </w:p>
    <w:p>
      <w:pPr>
        <w:ind w:firstLine="640" w:firstLineChars="200"/>
        <w:jc w:val="left"/>
        <w:rPr>
          <w:rFonts w:ascii="仿宋" w:hAnsi="仿宋" w:eastAsia="仿宋" w:cs="仿宋"/>
          <w:kern w:val="0"/>
          <w:sz w:val="32"/>
          <w:szCs w:val="32"/>
        </w:rPr>
      </w:pPr>
      <w:r>
        <w:rPr>
          <w:rFonts w:hint="eastAsia" w:ascii="仿宋" w:hAnsi="仿宋" w:eastAsia="仿宋" w:cs="仿宋"/>
          <w:kern w:val="0"/>
          <w:sz w:val="32"/>
          <w:szCs w:val="32"/>
          <w:highlight w:val="none"/>
        </w:rPr>
        <w:t>委外研究费用不超过</w:t>
      </w:r>
      <w:r>
        <w:rPr>
          <w:rFonts w:hint="eastAsia" w:ascii="仿宋" w:hAnsi="仿宋" w:eastAsia="仿宋" w:cs="仿宋"/>
          <w:kern w:val="0"/>
          <w:sz w:val="32"/>
          <w:szCs w:val="32"/>
          <w:highlight w:val="none"/>
          <w:lang w:val="en-US" w:eastAsia="zh-CN"/>
        </w:rPr>
        <w:t>58</w:t>
      </w:r>
      <w:r>
        <w:rPr>
          <w:rFonts w:hint="eastAsia" w:ascii="仿宋" w:hAnsi="仿宋" w:eastAsia="仿宋" w:cs="仿宋"/>
          <w:kern w:val="0"/>
          <w:sz w:val="32"/>
          <w:szCs w:val="32"/>
          <w:highlight w:val="none"/>
        </w:rPr>
        <w:t>0万元。</w:t>
      </w:r>
    </w:p>
    <w:p>
      <w:pPr>
        <w:ind w:firstLine="640" w:firstLineChars="200"/>
        <w:jc w:val="left"/>
        <w:rPr>
          <w:rFonts w:ascii="黑体" w:hAnsi="黑体" w:eastAsia="黑体" w:cs="黑体"/>
          <w:kern w:val="0"/>
          <w:sz w:val="32"/>
          <w:szCs w:val="32"/>
        </w:rPr>
      </w:pPr>
      <w:r>
        <w:rPr>
          <w:rFonts w:hint="eastAsia" w:ascii="黑体" w:hAnsi="黑体" w:eastAsia="黑体" w:cs="黑体"/>
          <w:kern w:val="0"/>
          <w:sz w:val="32"/>
          <w:szCs w:val="32"/>
        </w:rPr>
        <w:t>六、揭榜方条件</w:t>
      </w:r>
    </w:p>
    <w:p>
      <w:pPr>
        <w:ind w:firstLine="640" w:firstLineChars="200"/>
        <w:jc w:val="left"/>
        <w:rPr>
          <w:rFonts w:ascii="仿宋" w:hAnsi="仿宋" w:eastAsia="仿宋" w:cs="仿宋"/>
          <w:kern w:val="0"/>
          <w:sz w:val="32"/>
          <w:szCs w:val="32"/>
          <w:highlight w:val="none"/>
        </w:rPr>
      </w:pPr>
      <w:r>
        <w:rPr>
          <w:rFonts w:hint="eastAsia" w:ascii="仿宋" w:hAnsi="仿宋" w:eastAsia="仿宋" w:cs="仿宋"/>
          <w:kern w:val="0"/>
          <w:sz w:val="32"/>
          <w:szCs w:val="32"/>
          <w:highlight w:val="none"/>
        </w:rPr>
        <w:t>1.揭榜方所在单位具备良好的工作基础、实验条件和科研环境，有较强的研发实力、科研条件和稳定的人员队伍等，有能力完成张榜任务；具有良好的科研道德和社会诚信，近3年内无不良信用记录；取得过国家、省部级、行业级和充填开采相关的科学技术奖1项并具有一定的持续发展能力。</w:t>
      </w:r>
    </w:p>
    <w:p>
      <w:pPr>
        <w:ind w:firstLine="640" w:firstLineChars="200"/>
        <w:jc w:val="left"/>
        <w:rPr>
          <w:rFonts w:ascii="仿宋" w:hAnsi="仿宋" w:eastAsia="仿宋" w:cs="仿宋"/>
          <w:kern w:val="0"/>
          <w:sz w:val="32"/>
          <w:szCs w:val="32"/>
          <w:highlight w:val="none"/>
        </w:rPr>
      </w:pPr>
      <w:r>
        <w:rPr>
          <w:rFonts w:hint="eastAsia" w:ascii="仿宋" w:hAnsi="仿宋" w:eastAsia="仿宋" w:cs="仿宋"/>
          <w:kern w:val="0"/>
          <w:sz w:val="32"/>
          <w:szCs w:val="32"/>
          <w:highlight w:val="none"/>
        </w:rPr>
        <w:t>2.揭榜方挂帅者实行“谁有能力谁就揭榜挂帅”的原则。挂帅者作为研发团队带头人，应在</w:t>
      </w:r>
      <w:r>
        <w:rPr>
          <w:rFonts w:hint="eastAsia" w:ascii="仿宋" w:hAnsi="仿宋" w:eastAsia="仿宋" w:cs="仿宋"/>
          <w:kern w:val="0"/>
          <w:sz w:val="32"/>
          <w:szCs w:val="32"/>
          <w:highlight w:val="none"/>
          <w:lang w:val="en-US" w:eastAsia="zh-CN"/>
        </w:rPr>
        <w:t>建筑物下充填开采</w:t>
      </w:r>
      <w:r>
        <w:rPr>
          <w:rFonts w:hint="eastAsia" w:ascii="仿宋" w:hAnsi="仿宋" w:eastAsia="仿宋" w:cs="仿宋"/>
          <w:kern w:val="0"/>
          <w:sz w:val="32"/>
          <w:szCs w:val="32"/>
          <w:highlight w:val="none"/>
        </w:rPr>
        <w:t>领域中已取得较为突出的创新成果，有良好的科学道德和严谨的学风，能对张榜项目需求给出攻克关键核心技术的可行方案，</w:t>
      </w:r>
      <w:r>
        <w:rPr>
          <w:rFonts w:hint="eastAsia" w:ascii="仿宋" w:hAnsi="仿宋" w:eastAsia="仿宋" w:cs="仿宋"/>
          <w:kern w:val="0"/>
          <w:sz w:val="32"/>
          <w:szCs w:val="32"/>
          <w:highlight w:val="none"/>
          <w:lang w:val="en-US" w:eastAsia="zh-CN"/>
        </w:rPr>
        <w:t>在同等或类似地质地层条件下，有成功实施案例；</w:t>
      </w:r>
      <w:r>
        <w:rPr>
          <w:rFonts w:hint="eastAsia" w:ascii="仿宋" w:hAnsi="仿宋" w:eastAsia="仿宋" w:cs="仿宋"/>
          <w:kern w:val="0"/>
          <w:sz w:val="32"/>
          <w:szCs w:val="32"/>
          <w:highlight w:val="none"/>
        </w:rPr>
        <w:t>掌握自主知识产权，有和建筑物下充填开采相关的论著且获得过省部级科技进步奖、充填开采相关的发明专利不少于2项；制定或参与制定充填开采相关国家行业标准不少于7项；近三年具备承担从事揭榜项目相关的国家级及校企合作经历，其中，企合作项目不少于20项目（提供合同）；对本学科领域的发展具有重要推动作用，有时间和精力从事揭榜项目研究工作。</w:t>
      </w:r>
    </w:p>
    <w:p>
      <w:pPr>
        <w:ind w:firstLine="640" w:firstLineChars="200"/>
        <w:jc w:val="left"/>
        <w:rPr>
          <w:rFonts w:ascii="仿宋" w:hAnsi="仿宋" w:eastAsia="仿宋" w:cs="仿宋"/>
          <w:kern w:val="0"/>
          <w:sz w:val="32"/>
          <w:szCs w:val="32"/>
          <w:highlight w:val="none"/>
        </w:rPr>
      </w:pPr>
      <w:r>
        <w:rPr>
          <w:rFonts w:hint="eastAsia" w:ascii="仿宋" w:hAnsi="仿宋" w:eastAsia="仿宋" w:cs="仿宋"/>
          <w:kern w:val="0"/>
          <w:sz w:val="32"/>
          <w:szCs w:val="32"/>
          <w:highlight w:val="none"/>
        </w:rPr>
        <w:t>3.揭榜方参与本项目的科研团队除挂帅者之外一般应有至少1名副高级职称或博士学位的核心人员（特别优秀创新人才不受限制），专业结构合理。团队研究方向和主要研究课题符合集团公司发展领域和优势产业发展的要求，已取得突出成绩或具有明显的创新潜力。</w:t>
      </w:r>
    </w:p>
    <w:p>
      <w:pPr>
        <w:ind w:firstLine="640" w:firstLineChars="200"/>
        <w:jc w:val="left"/>
        <w:rPr>
          <w:rFonts w:ascii="仿宋" w:hAnsi="仿宋" w:eastAsia="仿宋" w:cs="仿宋"/>
          <w:kern w:val="0"/>
          <w:sz w:val="32"/>
          <w:szCs w:val="32"/>
          <w:highlight w:val="yellow"/>
        </w:rPr>
      </w:pPr>
      <w:r>
        <w:rPr>
          <w:rFonts w:hint="eastAsia" w:ascii="仿宋" w:hAnsi="仿宋" w:eastAsia="仿宋" w:cs="仿宋"/>
          <w:kern w:val="0"/>
          <w:sz w:val="32"/>
          <w:szCs w:val="32"/>
          <w:highlight w:val="none"/>
        </w:rPr>
        <w:t>4.挂帅者应保证在项目实施期间的工作时间和工作量，原则在</w:t>
      </w:r>
      <w:r>
        <w:rPr>
          <w:rFonts w:hint="eastAsia" w:ascii="仿宋" w:hAnsi="仿宋" w:eastAsia="仿宋" w:cs="仿宋"/>
          <w:kern w:val="0"/>
          <w:sz w:val="32"/>
          <w:szCs w:val="32"/>
          <w:highlight w:val="none"/>
          <w:lang w:val="en-US" w:eastAsia="zh-CN"/>
        </w:rPr>
        <w:t>永煤</w:t>
      </w:r>
      <w:r>
        <w:rPr>
          <w:rFonts w:hint="eastAsia" w:ascii="仿宋" w:hAnsi="仿宋" w:eastAsia="仿宋" w:cs="仿宋"/>
          <w:kern w:val="0"/>
          <w:sz w:val="32"/>
          <w:szCs w:val="32"/>
          <w:highlight w:val="none"/>
        </w:rPr>
        <w:t>公司内部同时承担项目数量不超过2项。</w:t>
      </w:r>
    </w:p>
    <w:p>
      <w:pPr>
        <w:widowControl/>
        <w:ind w:firstLine="640" w:firstLineChars="200"/>
        <w:jc w:val="left"/>
        <w:rPr>
          <w:rFonts w:ascii="黑体" w:hAnsi="黑体" w:eastAsia="黑体" w:cs="黑体"/>
          <w:kern w:val="0"/>
          <w:sz w:val="32"/>
          <w:szCs w:val="32"/>
        </w:rPr>
      </w:pPr>
      <w:r>
        <w:rPr>
          <w:rFonts w:hint="eastAsia" w:ascii="黑体" w:hAnsi="黑体" w:eastAsia="黑体" w:cs="黑体"/>
          <w:kern w:val="0"/>
          <w:sz w:val="32"/>
          <w:szCs w:val="32"/>
        </w:rPr>
        <w:t>七、知识产权归属及利益分配</w:t>
      </w:r>
    </w:p>
    <w:p>
      <w:pPr>
        <w:ind w:firstLine="640" w:firstLineChars="200"/>
        <w:rPr>
          <w:rFonts w:ascii="仿宋" w:hAnsi="仿宋" w:eastAsia="仿宋" w:cs="仿宋"/>
          <w:bCs/>
          <w:sz w:val="32"/>
          <w:szCs w:val="32"/>
        </w:rPr>
      </w:pPr>
      <w:r>
        <w:rPr>
          <w:rFonts w:hint="eastAsia" w:ascii="仿宋" w:hAnsi="仿宋" w:eastAsia="仿宋" w:cs="仿宋"/>
          <w:bCs/>
          <w:sz w:val="32"/>
          <w:szCs w:val="32"/>
        </w:rPr>
        <w:t>1.专利或软著：归属</w:t>
      </w:r>
      <w:r>
        <w:rPr>
          <w:rFonts w:hint="eastAsia" w:ascii="仿宋" w:hAnsi="仿宋" w:eastAsia="仿宋" w:cs="仿宋"/>
          <w:bCs/>
          <w:sz w:val="32"/>
          <w:szCs w:val="32"/>
          <w:lang w:val="en-US" w:eastAsia="zh-CN"/>
        </w:rPr>
        <w:t>河南省正龙煤业有限公司城郊煤矿</w:t>
      </w:r>
      <w:r>
        <w:rPr>
          <w:rFonts w:hint="eastAsia" w:ascii="仿宋" w:hAnsi="仿宋" w:eastAsia="仿宋" w:cs="仿宋"/>
          <w:bCs/>
          <w:sz w:val="32"/>
          <w:szCs w:val="32"/>
        </w:rPr>
        <w:t>所有。</w:t>
      </w:r>
    </w:p>
    <w:p>
      <w:pPr>
        <w:ind w:firstLine="640" w:firstLineChars="200"/>
        <w:rPr>
          <w:rFonts w:ascii="仿宋" w:hAnsi="仿宋" w:eastAsia="仿宋" w:cs="仿宋"/>
          <w:bCs/>
          <w:sz w:val="32"/>
          <w:szCs w:val="32"/>
        </w:rPr>
      </w:pPr>
      <w:r>
        <w:rPr>
          <w:rFonts w:hint="eastAsia" w:ascii="仿宋" w:hAnsi="仿宋" w:eastAsia="仿宋" w:cs="仿宋"/>
          <w:bCs/>
          <w:sz w:val="32"/>
          <w:szCs w:val="32"/>
        </w:rPr>
        <w:t>2.论文：第一作者为</w:t>
      </w:r>
      <w:r>
        <w:rPr>
          <w:rFonts w:hint="eastAsia" w:ascii="仿宋" w:hAnsi="仿宋" w:eastAsia="仿宋" w:cs="仿宋"/>
          <w:bCs/>
          <w:sz w:val="32"/>
          <w:szCs w:val="32"/>
          <w:lang w:val="en-US" w:eastAsia="zh-CN"/>
        </w:rPr>
        <w:t>河南省正龙煤业有限公司</w:t>
      </w:r>
      <w:r>
        <w:rPr>
          <w:rFonts w:hint="eastAsia" w:ascii="仿宋" w:hAnsi="仿宋" w:eastAsia="仿宋" w:cs="仿宋"/>
          <w:bCs/>
          <w:sz w:val="32"/>
          <w:szCs w:val="32"/>
        </w:rPr>
        <w:t>相关人员</w:t>
      </w:r>
      <w:r>
        <w:rPr>
          <w:rFonts w:hint="eastAsia" w:ascii="仿宋" w:hAnsi="仿宋" w:eastAsia="仿宋" w:cs="仿宋"/>
          <w:bCs/>
          <w:sz w:val="32"/>
          <w:szCs w:val="32"/>
          <w:lang w:val="en-US" w:eastAsia="zh-CN"/>
        </w:rPr>
        <w:t>3篇，</w:t>
      </w:r>
      <w:r>
        <w:rPr>
          <w:rFonts w:hint="eastAsia" w:ascii="仿宋" w:hAnsi="仿宋" w:eastAsia="仿宋" w:cs="仿宋"/>
          <w:bCs/>
          <w:sz w:val="32"/>
          <w:szCs w:val="32"/>
        </w:rPr>
        <w:t>第一作者为</w:t>
      </w:r>
      <w:r>
        <w:rPr>
          <w:rFonts w:hint="eastAsia" w:ascii="仿宋" w:hAnsi="仿宋" w:eastAsia="仿宋" w:cs="仿宋"/>
          <w:bCs/>
          <w:sz w:val="32"/>
          <w:szCs w:val="32"/>
          <w:lang w:val="en-US" w:eastAsia="zh-CN"/>
        </w:rPr>
        <w:t>揭榜方</w:t>
      </w:r>
      <w:r>
        <w:rPr>
          <w:rFonts w:hint="eastAsia" w:ascii="仿宋" w:hAnsi="仿宋" w:eastAsia="仿宋" w:cs="仿宋"/>
          <w:bCs/>
          <w:sz w:val="32"/>
          <w:szCs w:val="32"/>
        </w:rPr>
        <w:t>相关人员</w:t>
      </w:r>
      <w:r>
        <w:rPr>
          <w:rFonts w:hint="eastAsia" w:ascii="仿宋" w:hAnsi="仿宋" w:eastAsia="仿宋" w:cs="仿宋"/>
          <w:bCs/>
          <w:sz w:val="32"/>
          <w:szCs w:val="32"/>
          <w:lang w:val="en-US" w:eastAsia="zh-CN"/>
        </w:rPr>
        <w:t>1篇</w:t>
      </w:r>
      <w:r>
        <w:rPr>
          <w:rFonts w:hint="eastAsia" w:ascii="仿宋" w:hAnsi="仿宋" w:eastAsia="仿宋" w:cs="仿宋"/>
          <w:bCs/>
          <w:sz w:val="32"/>
          <w:szCs w:val="32"/>
        </w:rPr>
        <w:t>。</w:t>
      </w:r>
    </w:p>
    <w:p>
      <w:pPr>
        <w:ind w:firstLine="640" w:firstLineChars="200"/>
        <w:rPr>
          <w:rFonts w:ascii="仿宋" w:hAnsi="仿宋" w:eastAsia="仿宋" w:cs="仿宋"/>
          <w:bCs/>
          <w:sz w:val="32"/>
          <w:szCs w:val="32"/>
        </w:rPr>
      </w:pPr>
      <w:r>
        <w:rPr>
          <w:rFonts w:hint="eastAsia" w:ascii="仿宋" w:hAnsi="仿宋" w:eastAsia="仿宋" w:cs="仿宋"/>
          <w:bCs/>
          <w:sz w:val="32"/>
          <w:szCs w:val="32"/>
        </w:rPr>
        <w:t>3.科技成果：鉴定成果的第一完成单位为</w:t>
      </w:r>
      <w:r>
        <w:rPr>
          <w:rFonts w:hint="eastAsia" w:ascii="仿宋" w:hAnsi="仿宋" w:eastAsia="仿宋" w:cs="仿宋"/>
          <w:bCs/>
          <w:sz w:val="32"/>
          <w:szCs w:val="32"/>
          <w:lang w:val="en-US" w:eastAsia="zh-CN"/>
        </w:rPr>
        <w:t>河南省正龙煤业有限公司城郊煤矿</w:t>
      </w:r>
      <w:r>
        <w:rPr>
          <w:rFonts w:hint="eastAsia" w:ascii="仿宋" w:hAnsi="仿宋" w:eastAsia="仿宋" w:cs="仿宋"/>
          <w:bCs/>
          <w:sz w:val="32"/>
          <w:szCs w:val="32"/>
        </w:rPr>
        <w:t>，完成人员名次协商确定。</w:t>
      </w:r>
    </w:p>
    <w:p>
      <w:pPr>
        <w:widowControl/>
        <w:ind w:firstLine="640" w:firstLineChars="200"/>
        <w:jc w:val="left"/>
        <w:rPr>
          <w:rFonts w:ascii="黑体" w:hAnsi="黑体" w:eastAsia="黑体" w:cs="黑体"/>
          <w:kern w:val="0"/>
          <w:sz w:val="32"/>
          <w:szCs w:val="32"/>
        </w:rPr>
      </w:pPr>
      <w:r>
        <w:rPr>
          <w:rFonts w:hint="eastAsia" w:ascii="黑体" w:hAnsi="黑体" w:eastAsia="黑体" w:cs="黑体"/>
          <w:kern w:val="0"/>
          <w:sz w:val="32"/>
          <w:szCs w:val="32"/>
        </w:rPr>
        <w:t>八、预期成果</w:t>
      </w:r>
    </w:p>
    <w:p>
      <w:pPr>
        <w:ind w:firstLine="640" w:firstLineChars="200"/>
        <w:rPr>
          <w:rFonts w:hint="eastAsia" w:ascii="仿宋" w:hAnsi="仿宋" w:eastAsia="仿宋" w:cs="仿宋"/>
          <w:bCs/>
          <w:sz w:val="32"/>
          <w:szCs w:val="32"/>
          <w:lang w:val="en-US" w:eastAsia="zh-CN"/>
        </w:rPr>
      </w:pPr>
      <w:r>
        <w:rPr>
          <w:rFonts w:hint="eastAsia" w:ascii="仿宋" w:hAnsi="仿宋" w:eastAsia="仿宋" w:cs="仿宋"/>
          <w:bCs/>
          <w:sz w:val="32"/>
          <w:szCs w:val="32"/>
        </w:rPr>
        <w:t>1.</w:t>
      </w:r>
      <w:r>
        <w:rPr>
          <w:rFonts w:hint="eastAsia" w:ascii="仿宋" w:hAnsi="仿宋" w:eastAsia="仿宋" w:cs="仿宋"/>
          <w:bCs/>
          <w:sz w:val="32"/>
          <w:szCs w:val="32"/>
          <w:lang w:val="en-US" w:eastAsia="zh-CN"/>
        </w:rPr>
        <w:t>确定适宜城郊煤矿的建筑物下充填开采方法，形成城郊煤矿建筑物下充填开采关键技术，解放建筑物下压覆煤炭资源，实现不搬迁开采。</w:t>
      </w:r>
    </w:p>
    <w:p>
      <w:pPr>
        <w:ind w:firstLine="640" w:firstLineChars="200"/>
        <w:rPr>
          <w:rFonts w:ascii="仿宋" w:hAnsi="仿宋" w:eastAsia="仿宋" w:cs="仿宋"/>
          <w:bCs/>
          <w:sz w:val="32"/>
          <w:szCs w:val="32"/>
        </w:rPr>
      </w:pPr>
      <w:r>
        <w:rPr>
          <w:rFonts w:hint="eastAsia" w:ascii="仿宋" w:hAnsi="仿宋" w:eastAsia="仿宋" w:cs="仿宋"/>
          <w:bCs/>
          <w:sz w:val="32"/>
          <w:szCs w:val="32"/>
          <w:lang w:val="en-US" w:eastAsia="zh-CN"/>
        </w:rPr>
        <w:t>2</w:t>
      </w:r>
      <w:r>
        <w:rPr>
          <w:rFonts w:hint="eastAsia" w:ascii="仿宋" w:hAnsi="仿宋" w:eastAsia="仿宋" w:cs="仿宋"/>
          <w:bCs/>
          <w:sz w:val="32"/>
          <w:szCs w:val="32"/>
        </w:rPr>
        <w:t>.</w:t>
      </w:r>
      <w:r>
        <w:rPr>
          <w:rFonts w:hint="eastAsia" w:ascii="仿宋" w:hAnsi="仿宋" w:eastAsia="仿宋" w:cs="仿宋"/>
          <w:bCs/>
          <w:sz w:val="32"/>
          <w:szCs w:val="32"/>
          <w:lang w:val="en-US" w:eastAsia="zh-CN"/>
        </w:rPr>
        <w:t>城郊煤矿充填系统充填能力不低于60万t/年，单个充填工作面产量不低于30万t/年</w:t>
      </w:r>
      <w:r>
        <w:rPr>
          <w:rFonts w:hint="eastAsia" w:ascii="仿宋" w:hAnsi="仿宋" w:eastAsia="仿宋" w:cs="仿宋"/>
          <w:bCs/>
          <w:sz w:val="32"/>
          <w:szCs w:val="32"/>
        </w:rPr>
        <w:t>。</w:t>
      </w:r>
    </w:p>
    <w:p>
      <w:pPr>
        <w:ind w:firstLine="640" w:firstLineChars="200"/>
        <w:rPr>
          <w:rFonts w:ascii="仿宋" w:hAnsi="仿宋" w:eastAsia="仿宋" w:cs="仿宋"/>
          <w:bCs/>
          <w:sz w:val="32"/>
          <w:szCs w:val="32"/>
        </w:rPr>
      </w:pPr>
      <w:r>
        <w:rPr>
          <w:rFonts w:hint="eastAsia" w:ascii="仿宋" w:hAnsi="仿宋" w:eastAsia="仿宋" w:cs="仿宋"/>
          <w:bCs/>
          <w:sz w:val="32"/>
          <w:szCs w:val="32"/>
          <w:lang w:val="en-US" w:eastAsia="zh-CN"/>
        </w:rPr>
        <w:t>3</w:t>
      </w:r>
      <w:r>
        <w:rPr>
          <w:rFonts w:hint="eastAsia" w:ascii="仿宋" w:hAnsi="仿宋" w:eastAsia="仿宋" w:cs="仿宋"/>
          <w:bCs/>
          <w:sz w:val="32"/>
          <w:szCs w:val="32"/>
        </w:rPr>
        <w:t>.</w:t>
      </w:r>
      <w:r>
        <w:rPr>
          <w:rFonts w:hint="eastAsia" w:ascii="仿宋" w:hAnsi="仿宋" w:eastAsia="仿宋" w:cs="仿宋"/>
          <w:kern w:val="0"/>
          <w:sz w:val="32"/>
          <w:szCs w:val="32"/>
          <w:lang w:val="en-US" w:eastAsia="zh-CN"/>
        </w:rPr>
        <w:t>建筑物下充填开采技术</w:t>
      </w:r>
      <w:r>
        <w:rPr>
          <w:rFonts w:hint="eastAsia" w:ascii="仿宋" w:hAnsi="仿宋" w:eastAsia="仿宋" w:cs="仿宋"/>
          <w:kern w:val="0"/>
          <w:sz w:val="32"/>
          <w:szCs w:val="32"/>
        </w:rPr>
        <w:t>方面的</w:t>
      </w:r>
      <w:r>
        <w:rPr>
          <w:rFonts w:hint="eastAsia" w:ascii="仿宋" w:hAnsi="仿宋" w:eastAsia="仿宋" w:cs="仿宋"/>
          <w:bCs/>
          <w:sz w:val="32"/>
          <w:szCs w:val="32"/>
        </w:rPr>
        <w:t>发明专利申请不少于2项</w:t>
      </w:r>
      <w:r>
        <w:rPr>
          <w:rFonts w:hint="eastAsia" w:ascii="仿宋" w:hAnsi="仿宋" w:eastAsia="仿宋" w:cs="仿宋"/>
          <w:bCs/>
          <w:sz w:val="32"/>
          <w:szCs w:val="32"/>
          <w:lang w:eastAsia="zh-CN"/>
        </w:rPr>
        <w:t>，实用新型专利</w:t>
      </w:r>
      <w:r>
        <w:rPr>
          <w:rFonts w:hint="eastAsia" w:ascii="仿宋" w:hAnsi="仿宋" w:eastAsia="仿宋" w:cs="仿宋"/>
          <w:bCs/>
          <w:sz w:val="32"/>
          <w:szCs w:val="32"/>
          <w:lang w:val="en-US" w:eastAsia="zh-CN"/>
        </w:rPr>
        <w:t>不少于</w:t>
      </w:r>
      <w:r>
        <w:rPr>
          <w:rFonts w:hint="eastAsia" w:ascii="仿宋" w:hAnsi="仿宋" w:eastAsia="仿宋" w:cs="仿宋"/>
          <w:bCs/>
          <w:sz w:val="32"/>
          <w:szCs w:val="32"/>
          <w:lang w:eastAsia="zh-CN"/>
        </w:rPr>
        <w:t>3项，</w:t>
      </w:r>
      <w:r>
        <w:rPr>
          <w:rFonts w:hint="eastAsia" w:ascii="仿宋" w:hAnsi="仿宋" w:eastAsia="仿宋" w:cs="仿宋"/>
          <w:bCs/>
          <w:sz w:val="32"/>
          <w:szCs w:val="32"/>
        </w:rPr>
        <w:t>核心期刊论文不少于</w:t>
      </w:r>
      <w:r>
        <w:rPr>
          <w:rFonts w:hint="eastAsia" w:ascii="仿宋" w:hAnsi="仿宋" w:eastAsia="仿宋" w:cs="仿宋"/>
          <w:bCs/>
          <w:sz w:val="32"/>
          <w:szCs w:val="32"/>
          <w:lang w:val="en-US" w:eastAsia="zh-CN"/>
        </w:rPr>
        <w:t>4</w:t>
      </w:r>
      <w:r>
        <w:rPr>
          <w:rFonts w:hint="eastAsia" w:ascii="仿宋" w:hAnsi="仿宋" w:eastAsia="仿宋" w:cs="仿宋"/>
          <w:bCs/>
          <w:sz w:val="32"/>
          <w:szCs w:val="32"/>
        </w:rPr>
        <w:t>篇。</w:t>
      </w:r>
    </w:p>
    <w:p>
      <w:pPr>
        <w:widowControl/>
        <w:ind w:firstLine="640" w:firstLineChars="200"/>
        <w:jc w:val="left"/>
        <w:rPr>
          <w:rFonts w:ascii="黑体" w:hAnsi="黑体" w:eastAsia="黑体" w:cs="黑体"/>
          <w:kern w:val="0"/>
          <w:sz w:val="32"/>
          <w:szCs w:val="32"/>
        </w:rPr>
      </w:pPr>
      <w:r>
        <w:rPr>
          <w:rFonts w:hint="eastAsia" w:ascii="黑体" w:hAnsi="黑体" w:eastAsia="黑体" w:cs="黑体"/>
          <w:kern w:val="0"/>
          <w:sz w:val="32"/>
          <w:szCs w:val="32"/>
        </w:rPr>
        <w:t>九、应用场景</w:t>
      </w:r>
    </w:p>
    <w:p>
      <w:pPr>
        <w:topLinePunct/>
        <w:ind w:firstLine="640"/>
        <w:rPr>
          <w:rFonts w:hint="default" w:ascii="仿宋" w:hAnsi="仿宋" w:eastAsia="仿宋" w:cs="仿宋"/>
          <w:bCs/>
          <w:sz w:val="32"/>
          <w:szCs w:val="32"/>
          <w:lang w:val="en-US" w:eastAsia="zh-CN"/>
        </w:rPr>
      </w:pPr>
      <w:r>
        <w:rPr>
          <w:rFonts w:hint="eastAsia" w:ascii="仿宋" w:hAnsi="仿宋" w:eastAsia="仿宋" w:cs="仿宋"/>
          <w:bCs/>
          <w:sz w:val="32"/>
          <w:szCs w:val="32"/>
        </w:rPr>
        <w:t>应用于</w:t>
      </w:r>
      <w:r>
        <w:rPr>
          <w:rFonts w:hint="eastAsia" w:ascii="仿宋" w:hAnsi="仿宋" w:eastAsia="仿宋" w:cs="仿宋"/>
          <w:bCs/>
          <w:sz w:val="32"/>
          <w:szCs w:val="32"/>
          <w:lang w:val="en-US" w:eastAsia="zh-CN"/>
        </w:rPr>
        <w:t>城郊煤矿建筑物下压覆资源开采，为后期城郊煤矿及永煤公司本部矿井建筑物下充填开采技术推广提供依据及指导。</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altName w:val="Arial Unicode MS"/>
    <w:panose1 w:val="03000509000000000000"/>
    <w:charset w:val="86"/>
    <w:family w:val="script"/>
    <w:pitch w:val="default"/>
    <w:sig w:usb0="00000000" w:usb1="0000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5"/>
                    </w:pPr>
                    <w:r>
                      <w:fldChar w:fldCharType="begin"/>
                    </w:r>
                    <w:r>
                      <w:instrText xml:space="preserve"> PAGE  \* MERGEFORMAT </w:instrText>
                    </w:r>
                    <w:r>
                      <w:fldChar w:fldCharType="separate"/>
                    </w:r>
                    <w:r>
                      <w:t>3</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5ODRkODY3ZDFhYjE5NzJhYjU2YTFjNmY1NGI0NmUifQ=="/>
    <w:docVar w:name="KSO_WPS_MARK_KEY" w:val="a86928c6-66f5-40a4-b1c1-7c38e821ab41"/>
  </w:docVars>
  <w:rsids>
    <w:rsidRoot w:val="614D5D3C"/>
    <w:rsid w:val="00356770"/>
    <w:rsid w:val="004151B2"/>
    <w:rsid w:val="008A3FAD"/>
    <w:rsid w:val="00903973"/>
    <w:rsid w:val="00D24E44"/>
    <w:rsid w:val="00E4663F"/>
    <w:rsid w:val="00EA1E91"/>
    <w:rsid w:val="00EB1519"/>
    <w:rsid w:val="028E5FD0"/>
    <w:rsid w:val="02DF57A3"/>
    <w:rsid w:val="03826756"/>
    <w:rsid w:val="03B207E7"/>
    <w:rsid w:val="055F4E00"/>
    <w:rsid w:val="06E4782C"/>
    <w:rsid w:val="06F832D7"/>
    <w:rsid w:val="08B57B6C"/>
    <w:rsid w:val="0B3C0A0B"/>
    <w:rsid w:val="0BD14F70"/>
    <w:rsid w:val="0C2801BA"/>
    <w:rsid w:val="0E036241"/>
    <w:rsid w:val="0FAC749D"/>
    <w:rsid w:val="0FF31DBC"/>
    <w:rsid w:val="112646C8"/>
    <w:rsid w:val="138F16CD"/>
    <w:rsid w:val="13D03611"/>
    <w:rsid w:val="144E09DA"/>
    <w:rsid w:val="1D630B8A"/>
    <w:rsid w:val="1D8413D7"/>
    <w:rsid w:val="1EFD3064"/>
    <w:rsid w:val="1F5F0408"/>
    <w:rsid w:val="261F3F85"/>
    <w:rsid w:val="264D03D2"/>
    <w:rsid w:val="26751DBD"/>
    <w:rsid w:val="26E97DDC"/>
    <w:rsid w:val="2A7E6DEB"/>
    <w:rsid w:val="2B4E28EE"/>
    <w:rsid w:val="2B8F395A"/>
    <w:rsid w:val="2C444745"/>
    <w:rsid w:val="2DF53F49"/>
    <w:rsid w:val="31E27622"/>
    <w:rsid w:val="324A7111"/>
    <w:rsid w:val="33045007"/>
    <w:rsid w:val="332F6DEF"/>
    <w:rsid w:val="33332E1D"/>
    <w:rsid w:val="35042CC3"/>
    <w:rsid w:val="356B157C"/>
    <w:rsid w:val="35E93E16"/>
    <w:rsid w:val="36797868"/>
    <w:rsid w:val="3A7B43C8"/>
    <w:rsid w:val="3C78735B"/>
    <w:rsid w:val="3DF03B5A"/>
    <w:rsid w:val="3E157CEF"/>
    <w:rsid w:val="3E183E7F"/>
    <w:rsid w:val="3F367F1D"/>
    <w:rsid w:val="402B37FA"/>
    <w:rsid w:val="42002B7B"/>
    <w:rsid w:val="423E38D0"/>
    <w:rsid w:val="43355CF3"/>
    <w:rsid w:val="479E0EF4"/>
    <w:rsid w:val="48C04CFB"/>
    <w:rsid w:val="49E32241"/>
    <w:rsid w:val="4B95246F"/>
    <w:rsid w:val="4BA95F1B"/>
    <w:rsid w:val="5385101B"/>
    <w:rsid w:val="54D3680F"/>
    <w:rsid w:val="55D07037"/>
    <w:rsid w:val="567535C9"/>
    <w:rsid w:val="568C369D"/>
    <w:rsid w:val="57B96D97"/>
    <w:rsid w:val="59367040"/>
    <w:rsid w:val="5A504131"/>
    <w:rsid w:val="5B5624AD"/>
    <w:rsid w:val="5BF705DC"/>
    <w:rsid w:val="614D5D3C"/>
    <w:rsid w:val="643376F3"/>
    <w:rsid w:val="65F8321C"/>
    <w:rsid w:val="67C11C73"/>
    <w:rsid w:val="67DC5256"/>
    <w:rsid w:val="681744E0"/>
    <w:rsid w:val="687A663E"/>
    <w:rsid w:val="68AA7C5D"/>
    <w:rsid w:val="69BB2CDD"/>
    <w:rsid w:val="6A9260A0"/>
    <w:rsid w:val="6B623CC4"/>
    <w:rsid w:val="6CE33001"/>
    <w:rsid w:val="6E6B2E90"/>
    <w:rsid w:val="703867D8"/>
    <w:rsid w:val="714B2901"/>
    <w:rsid w:val="71600CA6"/>
    <w:rsid w:val="725032CA"/>
    <w:rsid w:val="760065B4"/>
    <w:rsid w:val="766C62A4"/>
    <w:rsid w:val="76C75323"/>
    <w:rsid w:val="78FF40A3"/>
    <w:rsid w:val="7F000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3"/>
    <w:next w:val="3"/>
    <w:qFormat/>
    <w:uiPriority w:val="0"/>
    <w:pPr>
      <w:textAlignment w:val="baseline"/>
    </w:pPr>
  </w:style>
  <w:style w:type="paragraph" w:customStyle="1" w:styleId="3">
    <w:name w:val="UserStyle_1"/>
    <w:basedOn w:val="4"/>
    <w:next w:val="11"/>
    <w:qFormat/>
    <w:uiPriority w:val="0"/>
    <w:pPr>
      <w:spacing w:after="120"/>
      <w:ind w:left="420" w:leftChars="200"/>
    </w:pPr>
  </w:style>
  <w:style w:type="paragraph" w:customStyle="1" w:styleId="4">
    <w:name w:val="正文 New New New New New New New New New New New New New New New"/>
    <w:next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
    <w:name w:val="Body Text First Indent 22"/>
    <w:basedOn w:val="6"/>
    <w:next w:val="8"/>
    <w:qFormat/>
    <w:uiPriority w:val="0"/>
    <w:pPr>
      <w:ind w:firstLine="420" w:firstLineChars="200"/>
    </w:pPr>
  </w:style>
  <w:style w:type="paragraph" w:customStyle="1" w:styleId="6">
    <w:name w:val="Body Text Indent2"/>
    <w:basedOn w:val="1"/>
    <w:next w:val="7"/>
    <w:qFormat/>
    <w:uiPriority w:val="0"/>
    <w:pPr>
      <w:spacing w:after="120"/>
      <w:ind w:left="420" w:leftChars="200"/>
    </w:pPr>
  </w:style>
  <w:style w:type="paragraph" w:customStyle="1" w:styleId="7">
    <w:name w:val="index 72"/>
    <w:basedOn w:val="1"/>
    <w:next w:val="4"/>
    <w:qFormat/>
    <w:uiPriority w:val="0"/>
    <w:pPr>
      <w:ind w:left="2520"/>
    </w:pPr>
  </w:style>
  <w:style w:type="paragraph" w:customStyle="1" w:styleId="8">
    <w:name w:val="正文首行缩进2"/>
    <w:basedOn w:val="9"/>
    <w:next w:val="5"/>
    <w:qFormat/>
    <w:uiPriority w:val="0"/>
    <w:pPr>
      <w:ind w:firstLine="420" w:firstLineChars="100"/>
    </w:pPr>
  </w:style>
  <w:style w:type="paragraph" w:customStyle="1" w:styleId="9">
    <w:name w:val="正文文本 New New"/>
    <w:basedOn w:val="4"/>
    <w:next w:val="10"/>
    <w:qFormat/>
    <w:uiPriority w:val="0"/>
    <w:pPr>
      <w:spacing w:after="120"/>
    </w:pPr>
  </w:style>
  <w:style w:type="paragraph" w:customStyle="1" w:styleId="10">
    <w:name w:val="正文文本 21"/>
    <w:basedOn w:val="4"/>
    <w:qFormat/>
    <w:uiPriority w:val="0"/>
    <w:pPr>
      <w:spacing w:after="120" w:line="480" w:lineRule="auto"/>
    </w:pPr>
    <w:rPr>
      <w:rFonts w:ascii="Arial" w:hAnsi="Arial"/>
    </w:rPr>
  </w:style>
  <w:style w:type="paragraph" w:customStyle="1" w:styleId="11">
    <w:name w:val="UserStyle_2"/>
    <w:basedOn w:val="1"/>
    <w:next w:val="1"/>
    <w:qFormat/>
    <w:uiPriority w:val="0"/>
    <w:pPr>
      <w:ind w:left="1200" w:leftChars="1200"/>
      <w:textAlignment w:val="baseline"/>
    </w:pPr>
  </w:style>
  <w:style w:type="paragraph" w:styleId="12">
    <w:name w:val="Normal Indent"/>
    <w:basedOn w:val="1"/>
    <w:next w:val="1"/>
    <w:unhideWhenUsed/>
    <w:qFormat/>
    <w:uiPriority w:val="99"/>
    <w:pPr>
      <w:ind w:firstLine="420" w:firstLineChars="200"/>
    </w:pPr>
  </w:style>
  <w:style w:type="paragraph" w:styleId="13">
    <w:name w:val="Body Text 3"/>
    <w:basedOn w:val="1"/>
    <w:qFormat/>
    <w:uiPriority w:val="0"/>
    <w:pPr>
      <w:spacing w:line="440" w:lineRule="exact"/>
    </w:pPr>
    <w:rPr>
      <w:b/>
      <w:sz w:val="28"/>
      <w:szCs w:val="20"/>
    </w:rPr>
  </w:style>
  <w:style w:type="paragraph" w:styleId="14">
    <w:name w:val="Body Text"/>
    <w:basedOn w:val="1"/>
    <w:unhideWhenUsed/>
    <w:qFormat/>
    <w:uiPriority w:val="0"/>
    <w:pPr>
      <w:spacing w:line="0" w:lineRule="atLeast"/>
    </w:pPr>
    <w:rPr>
      <w:rFonts w:ascii="宋体" w:hAnsi="宋体" w:eastAsia="小标宋"/>
      <w:sz w:val="44"/>
      <w:szCs w:val="32"/>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9">
    <w:name w:val="表格"/>
    <w:qFormat/>
    <w:uiPriority w:val="99"/>
    <w:pPr>
      <w:widowControl w:val="0"/>
      <w:adjustRightInd w:val="0"/>
      <w:snapToGrid w:val="0"/>
      <w:ind w:left="2" w:leftChars="1" w:right="113"/>
      <w:jc w:val="both"/>
    </w:pPr>
    <w:rPr>
      <w:rFonts w:ascii="Ari" w:hAnsi="Ari" w:eastAsia="宋体" w:cs="Times New Roman"/>
      <w:sz w:val="24"/>
      <w:szCs w:val="24"/>
      <w:lang w:val="en-US" w:eastAsia="zh-CN" w:bidi="ar-SA"/>
    </w:rPr>
  </w:style>
  <w:style w:type="character" w:customStyle="1" w:styleId="20">
    <w:name w:val="font101"/>
    <w:qFormat/>
    <w:uiPriority w:val="0"/>
    <w:rPr>
      <w:rFonts w:hint="eastAsia" w:ascii="宋体" w:hAnsi="宋体" w:eastAsia="宋体" w:cs="宋体"/>
      <w:color w:val="000000"/>
      <w:sz w:val="20"/>
      <w:szCs w:val="20"/>
      <w:u w:val="none"/>
    </w:rPr>
  </w:style>
  <w:style w:type="character" w:customStyle="1" w:styleId="21">
    <w:name w:val="font122"/>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1553</Words>
  <Characters>1607</Characters>
  <Lines>8</Lines>
  <Paragraphs>2</Paragraphs>
  <TotalTime>14</TotalTime>
  <ScaleCrop>false</ScaleCrop>
  <LinksUpToDate>false</LinksUpToDate>
  <CharactersWithSpaces>1607</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2024-04-10T01:04:00Z</dcterms:created>
  <dc:creator>贵宏伟</dc:creator>
  <cp:lastModifiedBy>郝娅小A</cp:lastModifiedBy>
  <cp:lastPrinted>2024-06-03T09:51:00Z</cp:lastPrinted>
  <dcterms:modified xsi:type="dcterms:W3CDTF">2024-06-03T09:52:50Z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C1226F43EA5649A1AA8708C25E359E3C_13</vt:lpwstr>
  </property>
</Properties>
</file>